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495" w14:textId="42037E47" w:rsidR="00AB1ABF" w:rsidRDefault="009F02D2" w:rsidP="009F02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210. STATE DEPARTMENT OF EDUCATION</w:t>
      </w:r>
    </w:p>
    <w:p w14:paraId="5EC6EFC5" w14:textId="6F13E111" w:rsidR="00BB2959" w:rsidRDefault="00F72B64" w:rsidP="00BB29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</w:t>
      </w:r>
      <w:r w:rsidR="00E75B79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BB2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83615">
        <w:rPr>
          <w:rFonts w:ascii="Times New Roman" w:eastAsia="Times New Roman" w:hAnsi="Times New Roman" w:cs="Times New Roman"/>
          <w:b/>
          <w:bCs/>
          <w:sz w:val="24"/>
          <w:szCs w:val="24"/>
        </w:rPr>
        <w:t>FINANCE</w:t>
      </w:r>
    </w:p>
    <w:p w14:paraId="68AE40D6" w14:textId="73F6183B" w:rsidR="00683615" w:rsidRDefault="00683615" w:rsidP="00BB29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SUBCHAPTER </w:t>
      </w:r>
      <w:r w:rsidR="00B85B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5BC7">
        <w:rPr>
          <w:rFonts w:ascii="Times New Roman" w:eastAsia="Times New Roman" w:hAnsi="Times New Roman" w:cs="Times New Roman"/>
          <w:b/>
          <w:bCs/>
          <w:sz w:val="24"/>
          <w:szCs w:val="24"/>
        </w:rPr>
        <w:t>GENERAL PROVISIONS</w:t>
      </w:r>
    </w:p>
    <w:p w14:paraId="6AB2EA36" w14:textId="70AB107D" w:rsidR="00BB2959" w:rsidRDefault="007420F4" w:rsidP="00691F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210:</w:t>
      </w:r>
      <w:r w:rsidR="00E75B79">
        <w:rPr>
          <w:rFonts w:ascii="Times New Roman" w:eastAsia="Times New Roman" w:hAnsi="Times New Roman" w:cs="Times New Roman"/>
          <w:b/>
          <w:bCs/>
          <w:sz w:val="24"/>
          <w:szCs w:val="24"/>
        </w:rPr>
        <w:t>25-</w:t>
      </w:r>
      <w:r w:rsidR="00B85B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75B7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85BC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5BC7">
        <w:rPr>
          <w:rFonts w:ascii="Times New Roman" w:eastAsia="Times New Roman" w:hAnsi="Times New Roman" w:cs="Times New Roman"/>
          <w:b/>
          <w:bCs/>
          <w:sz w:val="24"/>
          <w:szCs w:val="24"/>
        </w:rPr>
        <w:t>Equal Protection</w:t>
      </w:r>
      <w:r w:rsidR="00EB0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[NEW]</w:t>
      </w:r>
    </w:p>
    <w:p w14:paraId="1068DDA2" w14:textId="5AF3B344" w:rsidR="00FA2E9E" w:rsidRPr="00EB01B2" w:rsidRDefault="00FA2E9E" w:rsidP="00FA2E9E">
      <w:pPr>
        <w:pStyle w:val="xxmsonormal"/>
        <w:shd w:val="clear" w:color="auto" w:fill="FFFFFF"/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(a) </w:t>
      </w:r>
      <w:r w:rsidR="009A2661"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Governor’s Executive Order 2023-31 directs </w:t>
      </w:r>
      <w:r w:rsidR="003A3441"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all state executive agencies to place certain limits on the use of state funds, property, or resources </w:t>
      </w:r>
      <w:r w:rsidR="00C475FA"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to</w:t>
      </w:r>
      <w:r w:rsidR="003A3441"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comply with the U.S. Constitution and the Oklahoma Constitution.</w:t>
      </w:r>
    </w:p>
    <w:p w14:paraId="523122B3" w14:textId="16C54B47" w:rsidR="00984ECD" w:rsidRPr="00EB01B2" w:rsidRDefault="00984ECD" w:rsidP="00FA2E9E">
      <w:pPr>
        <w:pStyle w:val="xxmsonormal"/>
        <w:shd w:val="clear" w:color="auto" w:fill="FFFFFF"/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9E59DEA" w14:textId="65901519" w:rsidR="00984ECD" w:rsidRPr="00EB01B2" w:rsidRDefault="00984ECD" w:rsidP="00FA2E9E">
      <w:pPr>
        <w:pStyle w:val="xxmsonormal"/>
        <w:shd w:val="clear" w:color="auto" w:fill="FFFFFF"/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(b) Because the Supreme Executive power is vested in the Governor, </w:t>
      </w:r>
      <w:r w:rsidR="00912DE6"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Okla. Const. art. 6, § 2, </w:t>
      </w:r>
      <w:r w:rsidRPr="00EB01B2">
        <w:rPr>
          <w:rStyle w:val="xx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the State Board of Education complies with the Governor’s directives on the use of state funds, property, or resources.</w:t>
      </w:r>
    </w:p>
    <w:p w14:paraId="5642775D" w14:textId="72A46A49" w:rsidR="00C475FA" w:rsidRPr="00EB01B2" w:rsidRDefault="00C475FA" w:rsidP="00FA2E9E">
      <w:pPr>
        <w:pStyle w:val="xxmsonormal"/>
        <w:shd w:val="clear" w:color="auto" w:fill="FFFFFF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88E7A71" w14:textId="5E67900D" w:rsidR="00C475FA" w:rsidRPr="00EB01B2" w:rsidRDefault="00C475FA" w:rsidP="00FA2E9E">
      <w:pPr>
        <w:pStyle w:val="xxmsonormal"/>
        <w:shd w:val="clear" w:color="auto" w:fill="FFFFFF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</w:t>
      </w:r>
      <w:r w:rsidR="000577D0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c</w:t>
      </w: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) In order to comply with the Executive Order, neither the Oklahoma State Department of Education nor any recipient of fun</w:t>
      </w:r>
      <w:r w:rsidR="001375F2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ds from the Department may use state funds, property, or resources to:</w:t>
      </w:r>
    </w:p>
    <w:p w14:paraId="237E55CA" w14:textId="40ADEE5A" w:rsidR="001375F2" w:rsidRPr="00EB01B2" w:rsidRDefault="001375F2" w:rsidP="00FA2E9E">
      <w:pPr>
        <w:pStyle w:val="xxmsonormal"/>
        <w:shd w:val="clear" w:color="auto" w:fill="FFFFFF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75BC517D" w14:textId="77777777" w:rsidR="00D15E84" w:rsidRPr="00EB01B2" w:rsidRDefault="001375F2" w:rsidP="007031D8">
      <w:pPr>
        <w:pStyle w:val="xxmsonormal"/>
        <w:shd w:val="clear" w:color="auto" w:fill="FFFFFF"/>
        <w:ind w:left="720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(1) </w:t>
      </w:r>
      <w:r w:rsidR="00D15E84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Grant or support diversity, equity, and inclusion positions, departments, activities,</w:t>
      </w:r>
    </w:p>
    <w:p w14:paraId="6B9DCB39" w14:textId="2A21A864" w:rsidR="001375F2" w:rsidRPr="00EB01B2" w:rsidRDefault="00D15E84" w:rsidP="007031D8">
      <w:pPr>
        <w:pStyle w:val="xxmsonormal"/>
        <w:shd w:val="clear" w:color="auto" w:fill="FFFFFF"/>
        <w:ind w:left="720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procedures, or programs to the extent they grant preferential treatment based on one person</w:t>
      </w:r>
      <w:r w:rsidR="006352AC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'</w:t>
      </w: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 w:rsidR="00BB24FD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particular race, color, ethnicity, or national origin over </w:t>
      </w:r>
      <w:proofErr w:type="gramStart"/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another</w:t>
      </w:r>
      <w:r w:rsidR="006352AC"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'</w:t>
      </w: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s;</w:t>
      </w:r>
      <w:proofErr w:type="gramEnd"/>
    </w:p>
    <w:p w14:paraId="0F17F524" w14:textId="07C9B0E8" w:rsidR="00D15E84" w:rsidRPr="00EB01B2" w:rsidRDefault="00D15E84" w:rsidP="007031D8">
      <w:pPr>
        <w:pStyle w:val="xxmsonormal"/>
        <w:shd w:val="clear" w:color="auto" w:fill="FFFFFF"/>
        <w:ind w:left="720"/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5F946090" w14:textId="2941D481" w:rsidR="006352AC" w:rsidRPr="00EB01B2" w:rsidRDefault="006352AC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Style w:val="contentpasted0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(2)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mandate any person to participate in, listen to, or receive any education, training, activities,</w:t>
      </w:r>
      <w:r w:rsidR="00BB24FD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procedures, or programming to the extent such education, training, activity, or procedure grants preferences based on one person's particular race, color, sex, ethnicity, or national origin over </w:t>
      </w:r>
      <w:proofErr w:type="gramStart"/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another's;</w:t>
      </w:r>
      <w:proofErr w:type="gramEnd"/>
    </w:p>
    <w:p w14:paraId="0091C31F" w14:textId="77777777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6763AFB9" w14:textId="7170FE63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(3) mandate any person swear, certify, or agree to any loyalty oath that favors or prefers one</w:t>
      </w:r>
      <w:r w:rsidR="00BB24FD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particular race, color, sex, ethnicity, or national origin over </w:t>
      </w:r>
      <w:proofErr w:type="gramStart"/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another's;</w:t>
      </w:r>
      <w:proofErr w:type="gramEnd"/>
    </w:p>
    <w:p w14:paraId="76C1DEA9" w14:textId="0687E692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6A5152E" w14:textId="75BA7C77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(4) mandate any person to certify or declare agreement with, recognition of, or adherence to,</w:t>
      </w:r>
      <w:r w:rsidR="00BB24FD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any particular political, philosophical, religious, or other ideological </w:t>
      </w:r>
      <w:proofErr w:type="gramStart"/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viewpoint;</w:t>
      </w:r>
      <w:proofErr w:type="gramEnd"/>
    </w:p>
    <w:p w14:paraId="104150A6" w14:textId="34BFA488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3717D70A" w14:textId="02C11F9F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(5) mandate any applicant for employment provide a diversity, equity, and inclusion statement</w:t>
      </w:r>
      <w:r w:rsidR="00BB24FD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or give any applicant for employment preferential consideration based on the provision of such a diversity, equity, and inclusion statement; or</w:t>
      </w:r>
    </w:p>
    <w:p w14:paraId="334C8F70" w14:textId="1B278040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556FD271" w14:textId="4728EBB6" w:rsidR="00A54238" w:rsidRPr="00EB01B2" w:rsidRDefault="00A54238" w:rsidP="007031D8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(6) </w:t>
      </w:r>
      <w:r w:rsidR="00402F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mandate any person to disclose their pronouns.</w:t>
      </w:r>
    </w:p>
    <w:p w14:paraId="07E78029" w14:textId="572C4C9B" w:rsidR="00402FD0" w:rsidRPr="00EB01B2" w:rsidRDefault="00402FD0" w:rsidP="00A54238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5983BA7D" w14:textId="27B5231D" w:rsidR="00402FD0" w:rsidRPr="00EB01B2" w:rsidRDefault="00402FD0" w:rsidP="00FA73C1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</w:t>
      </w:r>
      <w:r w:rsidR="000577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) </w:t>
      </w:r>
      <w:r w:rsidR="000146E6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Any recipient of funds from the Department </w:t>
      </w:r>
      <w:r w:rsidR="00FA73C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shall initiate a review of diversity, equity, and inclusion positions, departments, activities, procedures, and programs and, if deemed necessary, restructure and/or eliminate functions that are not necessary for compliance, accreditation, or student and employee support services intended to support success broadly.</w:t>
      </w:r>
    </w:p>
    <w:p w14:paraId="33A5CE9C" w14:textId="7AF4184D" w:rsidR="00FA73C1" w:rsidRPr="00EB01B2" w:rsidRDefault="00FA73C1" w:rsidP="00FA73C1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015535D1" w14:textId="00BC51BC" w:rsidR="00FA73C1" w:rsidRPr="00EB01B2" w:rsidRDefault="00FA73C1" w:rsidP="00231401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>(</w:t>
      </w:r>
      <w:r w:rsidR="000577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e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) Nothing in this rule prohibits the Department or any recipient of funds Department </w:t>
      </w:r>
      <w:r w:rsidR="0023140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from applying for a grant or complying with the accreditation requirements by an accrediting or licensing agency, including, but not limited to, submitting to the grantor or accreditation agency a statement that:</w:t>
      </w:r>
    </w:p>
    <w:p w14:paraId="74DA5667" w14:textId="77777777" w:rsidR="008E35B8" w:rsidRPr="00EB01B2" w:rsidRDefault="008E35B8" w:rsidP="00231401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74558DE2" w14:textId="709A346D" w:rsidR="00231401" w:rsidRPr="00EB01B2" w:rsidRDefault="00231401" w:rsidP="00231401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(1) highlights work in supporting:</w:t>
      </w:r>
    </w:p>
    <w:p w14:paraId="468B4DC5" w14:textId="77777777" w:rsidR="008E35B8" w:rsidRPr="00EB01B2" w:rsidRDefault="008E35B8" w:rsidP="00231401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113110F0" w14:textId="7C2B14DF" w:rsidR="00231401" w:rsidRPr="00EB01B2" w:rsidRDefault="00231401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(a) first-generation college students, or</w:t>
      </w:r>
    </w:p>
    <w:p w14:paraId="1BCCB151" w14:textId="77777777" w:rsidR="008E35B8" w:rsidRPr="00EB01B2" w:rsidRDefault="008E35B8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2638827" w14:textId="51E47E19" w:rsidR="00231401" w:rsidRPr="00EB01B2" w:rsidRDefault="00AC36AF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(b)</w:t>
      </w:r>
      <w:r w:rsidR="0023140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students from low-income families, or</w:t>
      </w:r>
    </w:p>
    <w:p w14:paraId="45C653C2" w14:textId="77777777" w:rsidR="008E35B8" w:rsidRPr="00EB01B2" w:rsidRDefault="008E35B8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5F6B0626" w14:textId="648808AD" w:rsidR="00231401" w:rsidRPr="00EB01B2" w:rsidRDefault="00AC36AF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(c)</w:t>
      </w:r>
      <w:r w:rsidR="0023140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students with unique abilities, or</w:t>
      </w:r>
    </w:p>
    <w:p w14:paraId="51C1AE76" w14:textId="77777777" w:rsidR="008E35B8" w:rsidRPr="00EB01B2" w:rsidRDefault="008E35B8" w:rsidP="00231401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7D7D2AC" w14:textId="0E4EC800" w:rsidR="00231401" w:rsidRPr="00EB01B2" w:rsidRDefault="00AC36AF" w:rsidP="00AC36AF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(d)</w:t>
      </w:r>
      <w:r w:rsidR="0023140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underserved student populations; or</w:t>
      </w:r>
    </w:p>
    <w:p w14:paraId="7F5B6763" w14:textId="77777777" w:rsidR="008E35B8" w:rsidRPr="00EB01B2" w:rsidRDefault="008E35B8" w:rsidP="00AC36AF">
      <w:pPr>
        <w:pStyle w:val="xxmsonormal"/>
        <w:shd w:val="clear" w:color="auto" w:fill="FFFFFF"/>
        <w:ind w:left="720"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3B272909" w14:textId="03AC73CF" w:rsidR="00231401" w:rsidRPr="00EB01B2" w:rsidRDefault="00AC36AF" w:rsidP="00AC36AF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(2)</w:t>
      </w:r>
      <w:r w:rsidR="00231401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certifies compliance with applicable anti-discrimination laws, rules, and regulations.</w:t>
      </w:r>
    </w:p>
    <w:p w14:paraId="09E37FD4" w14:textId="77ABA142" w:rsidR="00276C1E" w:rsidRPr="00EB01B2" w:rsidRDefault="00276C1E" w:rsidP="00276C1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0E56587E" w14:textId="1539146F" w:rsidR="00276C1E" w:rsidRPr="00EB01B2" w:rsidRDefault="00276C1E" w:rsidP="00276C1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</w:t>
      </w:r>
      <w:r w:rsidR="000577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f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) This rule shal</w:t>
      </w:r>
      <w:r w:rsidR="0004361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l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not </w:t>
      </w:r>
      <w:r w:rsidR="0004361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b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e construed to apply to </w:t>
      </w:r>
      <w:r w:rsidR="0004361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public school districts or charter schools with respect to the following:</w:t>
      </w:r>
    </w:p>
    <w:p w14:paraId="53966985" w14:textId="37102484" w:rsidR="0004361B" w:rsidRPr="00EB01B2" w:rsidRDefault="0004361B" w:rsidP="00276C1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314DB6A" w14:textId="4A52E79B" w:rsidR="00AB0FAB" w:rsidRPr="00EB01B2" w:rsidRDefault="00AB0FAB" w:rsidP="00AB0FAB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1. a policy, practice, procedure, program, class, or activity required for compliance with state or federal laws, rules, or regulations for obtaining or retaining institutional, academic, or discipline-specific accreditation or </w:t>
      </w:r>
      <w:proofErr w:type="gramStart"/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licensure;</w:t>
      </w:r>
      <w:proofErr w:type="gramEnd"/>
    </w:p>
    <w:p w14:paraId="698C13C0" w14:textId="77777777" w:rsidR="00AB0FAB" w:rsidRPr="00EB01B2" w:rsidRDefault="00AB0FAB" w:rsidP="00AB0FAB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738E35D5" w14:textId="7E81E7E9" w:rsidR="00AB0FAB" w:rsidRPr="00EB01B2" w:rsidRDefault="009B44E7" w:rsidP="009B44E7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2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. an activity of a student organization registered with or recognized by 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a </w:t>
      </w:r>
      <w:proofErr w:type="gramStart"/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school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;</w:t>
      </w:r>
      <w:proofErr w:type="gramEnd"/>
    </w:p>
    <w:p w14:paraId="03EF013E" w14:textId="77777777" w:rsidR="009B44E7" w:rsidRPr="00EB01B2" w:rsidRDefault="009B44E7" w:rsidP="00AB0FAB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31B4314E" w14:textId="2CE08E40" w:rsidR="00AB0FAB" w:rsidRPr="00EB01B2" w:rsidRDefault="009B44E7" w:rsidP="009B44E7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3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. guest speakers or performances on short-term </w:t>
      </w:r>
      <w:proofErr w:type="gramStart"/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engagements;</w:t>
      </w:r>
      <w:proofErr w:type="gramEnd"/>
    </w:p>
    <w:p w14:paraId="3B798DAE" w14:textId="77777777" w:rsidR="009B44E7" w:rsidRPr="00EB01B2" w:rsidRDefault="009B44E7" w:rsidP="00AB0FAB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78AA1310" w14:textId="69ED825D" w:rsidR="00AB0FAB" w:rsidRPr="00EB01B2" w:rsidRDefault="009B44E7" w:rsidP="009B44E7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4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. academic support, tutoring, and career services and student success centers, so long as the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programming is designed and implemented without regard to race, sex, color, national origin,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or </w:t>
      </w:r>
      <w:proofErr w:type="gramStart"/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ethnicity;</w:t>
      </w:r>
      <w:proofErr w:type="gramEnd"/>
    </w:p>
    <w:p w14:paraId="0D4BD964" w14:textId="77777777" w:rsidR="009B44E7" w:rsidRPr="00EB01B2" w:rsidRDefault="009B44E7" w:rsidP="009B44E7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2FAA47FF" w14:textId="12A8CEB4" w:rsidR="00AB0FAB" w:rsidRPr="00EB01B2" w:rsidRDefault="009B44E7" w:rsidP="009B44E7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5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. data collection; or</w:t>
      </w:r>
    </w:p>
    <w:p w14:paraId="710E8257" w14:textId="77777777" w:rsidR="00FC26B4" w:rsidRPr="00EB01B2" w:rsidRDefault="00FC26B4" w:rsidP="009B44E7">
      <w:pPr>
        <w:pStyle w:val="xxmsonormal"/>
        <w:shd w:val="clear" w:color="auto" w:fill="FFFFFF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0155A05E" w14:textId="784ED99C" w:rsidR="00AB0FAB" w:rsidRPr="00EB01B2" w:rsidRDefault="00FC26B4" w:rsidP="00FC26B4">
      <w:pPr>
        <w:pStyle w:val="xxmsonormal"/>
        <w:shd w:val="clear" w:color="auto" w:fill="FFFFFF"/>
        <w:ind w:left="720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6</w:t>
      </w:r>
      <w:r w:rsidR="00AB0FAB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. access programs for military, veterans, students from low-income families, students with unique abilities, or underserved student populations.</w:t>
      </w:r>
    </w:p>
    <w:p w14:paraId="03FF20AC" w14:textId="6D9528A5" w:rsidR="00F7527B" w:rsidRPr="00EB01B2" w:rsidRDefault="00F7527B" w:rsidP="00F7527B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0E452AB2" w14:textId="08F7BFCB" w:rsidR="00F7527B" w:rsidRPr="00EB01B2" w:rsidRDefault="00F7527B" w:rsidP="000E01D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</w:t>
      </w:r>
      <w:r w:rsidR="000577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g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) </w:t>
      </w:r>
      <w:r w:rsidR="008807BC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The Department and any recipients of funds from the Department </w:t>
      </w:r>
      <w:r w:rsidR="001952F4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shall, within ninety days of the effective date of this rule, submit a report to the State Board of Education </w:t>
      </w:r>
      <w:r w:rsidR="000E01DE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that includes a description of the diversity, equity, and inclusion positions, departments, activities, procedures, and programs in existence as of the date of issuance of the Governor’s Executive Order 2023-31 and identify what functions, if any, were restructured and/or eliminated after the issuance</w:t>
      </w:r>
      <w:r w:rsidR="00840CA4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of that Executive Order or this rule.</w:t>
      </w:r>
    </w:p>
    <w:p w14:paraId="4BDD137B" w14:textId="7B412D59" w:rsidR="001F4FDB" w:rsidRPr="00EB01B2" w:rsidRDefault="001F4FDB" w:rsidP="000E01D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</w:p>
    <w:p w14:paraId="701CF1F2" w14:textId="56E6D397" w:rsidR="008276C6" w:rsidRPr="00EB01B2" w:rsidRDefault="001F4FDB" w:rsidP="000E01DE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(</w:t>
      </w:r>
      <w:r w:rsidR="000577D0"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h</w:t>
      </w:r>
      <w:r w:rsidRPr="00EB01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) Nothing in this rule should be construed to prohibit the promotion of civil discourse and debate or speech that is protected by the First Amendment to the U.S. Constitution.</w:t>
      </w:r>
    </w:p>
    <w:sectPr w:rsidR="008276C6" w:rsidRPr="00EB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A4"/>
    <w:rsid w:val="000146E6"/>
    <w:rsid w:val="00020760"/>
    <w:rsid w:val="0004361B"/>
    <w:rsid w:val="000577D0"/>
    <w:rsid w:val="00075CA9"/>
    <w:rsid w:val="000A342D"/>
    <w:rsid w:val="000D1F5F"/>
    <w:rsid w:val="000E01DE"/>
    <w:rsid w:val="001375F2"/>
    <w:rsid w:val="001513FF"/>
    <w:rsid w:val="00194C8B"/>
    <w:rsid w:val="001952F4"/>
    <w:rsid w:val="001A0D5F"/>
    <w:rsid w:val="001A1426"/>
    <w:rsid w:val="001D4AB8"/>
    <w:rsid w:val="001D5FDB"/>
    <w:rsid w:val="001E3E77"/>
    <w:rsid w:val="001F4FDB"/>
    <w:rsid w:val="001F57B9"/>
    <w:rsid w:val="002221AB"/>
    <w:rsid w:val="00231401"/>
    <w:rsid w:val="00255797"/>
    <w:rsid w:val="00276C1E"/>
    <w:rsid w:val="002D0D13"/>
    <w:rsid w:val="002E2F46"/>
    <w:rsid w:val="002E3D7A"/>
    <w:rsid w:val="003063C4"/>
    <w:rsid w:val="003221DC"/>
    <w:rsid w:val="003A3441"/>
    <w:rsid w:val="003B2C01"/>
    <w:rsid w:val="00402FD0"/>
    <w:rsid w:val="00453FFD"/>
    <w:rsid w:val="0049467F"/>
    <w:rsid w:val="005B74A5"/>
    <w:rsid w:val="00611F31"/>
    <w:rsid w:val="006352AC"/>
    <w:rsid w:val="006645FB"/>
    <w:rsid w:val="00683615"/>
    <w:rsid w:val="00691FFA"/>
    <w:rsid w:val="006A3CD0"/>
    <w:rsid w:val="006D0E0D"/>
    <w:rsid w:val="006E10D4"/>
    <w:rsid w:val="007031D8"/>
    <w:rsid w:val="00731614"/>
    <w:rsid w:val="007420F4"/>
    <w:rsid w:val="00797639"/>
    <w:rsid w:val="007C445C"/>
    <w:rsid w:val="007E401D"/>
    <w:rsid w:val="008062DF"/>
    <w:rsid w:val="008276C6"/>
    <w:rsid w:val="00840CA4"/>
    <w:rsid w:val="008807BC"/>
    <w:rsid w:val="008B4F61"/>
    <w:rsid w:val="008E35B8"/>
    <w:rsid w:val="0090276B"/>
    <w:rsid w:val="00912DE6"/>
    <w:rsid w:val="00915214"/>
    <w:rsid w:val="00915AD9"/>
    <w:rsid w:val="00917F9E"/>
    <w:rsid w:val="00940B10"/>
    <w:rsid w:val="00944403"/>
    <w:rsid w:val="00984ECD"/>
    <w:rsid w:val="009A2661"/>
    <w:rsid w:val="009B44E7"/>
    <w:rsid w:val="009F02D2"/>
    <w:rsid w:val="00A31971"/>
    <w:rsid w:val="00A3407D"/>
    <w:rsid w:val="00A54238"/>
    <w:rsid w:val="00A677E1"/>
    <w:rsid w:val="00A86977"/>
    <w:rsid w:val="00AB0A54"/>
    <w:rsid w:val="00AB0FAB"/>
    <w:rsid w:val="00AB1ABF"/>
    <w:rsid w:val="00AC36AF"/>
    <w:rsid w:val="00B154B9"/>
    <w:rsid w:val="00B17A7A"/>
    <w:rsid w:val="00B24DF9"/>
    <w:rsid w:val="00B40BF9"/>
    <w:rsid w:val="00B46662"/>
    <w:rsid w:val="00B67DA4"/>
    <w:rsid w:val="00B85BC7"/>
    <w:rsid w:val="00B909ED"/>
    <w:rsid w:val="00BB24FD"/>
    <w:rsid w:val="00BB2959"/>
    <w:rsid w:val="00BD2B56"/>
    <w:rsid w:val="00C12AF8"/>
    <w:rsid w:val="00C20361"/>
    <w:rsid w:val="00C23B62"/>
    <w:rsid w:val="00C412A4"/>
    <w:rsid w:val="00C4211B"/>
    <w:rsid w:val="00C475FA"/>
    <w:rsid w:val="00CA4AA6"/>
    <w:rsid w:val="00CD0019"/>
    <w:rsid w:val="00D021F5"/>
    <w:rsid w:val="00D13967"/>
    <w:rsid w:val="00D15E84"/>
    <w:rsid w:val="00D3223D"/>
    <w:rsid w:val="00D5545E"/>
    <w:rsid w:val="00DA1817"/>
    <w:rsid w:val="00DD503A"/>
    <w:rsid w:val="00DE1FF2"/>
    <w:rsid w:val="00E1741D"/>
    <w:rsid w:val="00E20460"/>
    <w:rsid w:val="00E31889"/>
    <w:rsid w:val="00E36C1E"/>
    <w:rsid w:val="00E61607"/>
    <w:rsid w:val="00E75B79"/>
    <w:rsid w:val="00E968CF"/>
    <w:rsid w:val="00EB01B2"/>
    <w:rsid w:val="00EB5D31"/>
    <w:rsid w:val="00F038F5"/>
    <w:rsid w:val="00F2260A"/>
    <w:rsid w:val="00F72B64"/>
    <w:rsid w:val="00F7527B"/>
    <w:rsid w:val="00F7743D"/>
    <w:rsid w:val="00FA2E9E"/>
    <w:rsid w:val="00FA73C1"/>
    <w:rsid w:val="00FB415A"/>
    <w:rsid w:val="00FC26B4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84A1"/>
  <w15:chartTrackingRefBased/>
  <w15:docId w15:val="{B26CAEC0-FFD2-4BB6-A337-BFD25C4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1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12A4"/>
    <w:rPr>
      <w:color w:val="0000FF"/>
      <w:u w:val="single"/>
    </w:rPr>
  </w:style>
  <w:style w:type="paragraph" w:customStyle="1" w:styleId="xxmsonormal">
    <w:name w:val="x_x_msonormal"/>
    <w:basedOn w:val="Normal"/>
    <w:rsid w:val="00FA2E9E"/>
    <w:pPr>
      <w:spacing w:after="0" w:line="240" w:lineRule="auto"/>
    </w:pPr>
    <w:rPr>
      <w:rFonts w:ascii="Calibri" w:hAnsi="Calibri" w:cs="Calibri"/>
    </w:rPr>
  </w:style>
  <w:style w:type="character" w:customStyle="1" w:styleId="xxcontentpasted0">
    <w:name w:val="x_x_contentpasted0"/>
    <w:basedOn w:val="DefaultParagraphFont"/>
    <w:rsid w:val="00FA2E9E"/>
  </w:style>
  <w:style w:type="character" w:customStyle="1" w:styleId="contentpasted0">
    <w:name w:val="contentpasted0"/>
    <w:basedOn w:val="DefaultParagraphFont"/>
    <w:rsid w:val="00FA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5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3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3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8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8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6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3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35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5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670463FBE34599BB0C6C52DF1D28" ma:contentTypeVersion="19" ma:contentTypeDescription="Create a new document." ma:contentTypeScope="" ma:versionID="75a5e827ffb8b77330a8613f5c6bd714">
  <xsd:schema xmlns:xsd="http://www.w3.org/2001/XMLSchema" xmlns:xs="http://www.w3.org/2001/XMLSchema" xmlns:p="http://schemas.microsoft.com/office/2006/metadata/properties" xmlns:ns1="http://schemas.microsoft.com/sharepoint/v3" xmlns:ns2="51be1bd6-5250-4728-a39b-ef4381bb15cb" xmlns:ns3="da1fb496-6ed4-4ad1-84ed-c19d339aafbc" targetNamespace="http://schemas.microsoft.com/office/2006/metadata/properties" ma:root="true" ma:fieldsID="bb55672cdb27293be577e1e0eaf73977" ns1:_="" ns2:_="" ns3:_="">
    <xsd:import namespace="http://schemas.microsoft.com/sharepoint/v3"/>
    <xsd:import namespace="51be1bd6-5250-4728-a39b-ef4381bb15cb"/>
    <xsd:import namespace="da1fb496-6ed4-4ad1-84ed-c19d339a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1bd6-5250-4728-a39b-ef4381bb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496-6ed4-4ad1-84ed-c19d339aa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0b6953-d81f-41e9-a98b-a020fe69ffbb}" ma:internalName="TaxCatchAll" ma:showField="CatchAllData" ma:web="da1fb496-6ed4-4ad1-84ed-c19d339aa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1be1bd6-5250-4728-a39b-ef4381bb15cb">
      <Terms xmlns="http://schemas.microsoft.com/office/infopath/2007/PartnerControls"/>
    </lcf76f155ced4ddcb4097134ff3c332f>
    <_ip_UnifiedCompliancePolicyProperties xmlns="http://schemas.microsoft.com/sharepoint/v3" xsi:nil="true"/>
    <TaxCatchAll xmlns="da1fb496-6ed4-4ad1-84ed-c19d339aafbc" xsi:nil="true"/>
  </documentManagement>
</p:properties>
</file>

<file path=customXml/itemProps1.xml><?xml version="1.0" encoding="utf-8"?>
<ds:datastoreItem xmlns:ds="http://schemas.openxmlformats.org/officeDocument/2006/customXml" ds:itemID="{872ED6F2-7F90-4351-A0BB-A41378B49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75E53-9DB5-423A-A39A-172B9C8DB6F4}"/>
</file>

<file path=customXml/itemProps3.xml><?xml version="1.0" encoding="utf-8"?>
<ds:datastoreItem xmlns:ds="http://schemas.openxmlformats.org/officeDocument/2006/customXml" ds:itemID="{C426AB2B-9F4A-4DF1-AA52-C0FE28C22672}"/>
</file>

<file path=customXml/itemProps4.xml><?xml version="1.0" encoding="utf-8"?>
<ds:datastoreItem xmlns:ds="http://schemas.openxmlformats.org/officeDocument/2006/customXml" ds:itemID="{CFE6C5F7-AD78-4B04-BE2B-DE01338F8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Braeden Cook</dc:creator>
  <cp:keywords/>
  <dc:description/>
  <cp:lastModifiedBy>Bryan Cleveland</cp:lastModifiedBy>
  <cp:revision>34</cp:revision>
  <cp:lastPrinted>2023-12-18T18:00:00Z</cp:lastPrinted>
  <dcterms:created xsi:type="dcterms:W3CDTF">2023-12-18T17:39:00Z</dcterms:created>
  <dcterms:modified xsi:type="dcterms:W3CDTF">2023-12-19T21:00:00Z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0x010100808A670463FBE34599BB0C6C52DF1D28</vt:lpwstr>
  </property>
</Properties>
</file>